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F270C" w14:textId="37F5B481" w:rsidR="00482F25" w:rsidRPr="00482F25" w:rsidRDefault="00482F25" w:rsidP="00482F25">
      <w:pPr>
        <w:rPr>
          <w:b/>
          <w:bCs/>
          <w:sz w:val="28"/>
          <w:szCs w:val="28"/>
        </w:rPr>
      </w:pPr>
      <w:bookmarkStart w:id="0" w:name="_GoBack"/>
      <w:bookmarkEnd w:id="0"/>
      <w:r w:rsidRPr="00482F25">
        <w:rPr>
          <w:b/>
          <w:bCs/>
          <w:sz w:val="28"/>
          <w:szCs w:val="28"/>
        </w:rPr>
        <w:t>Articles dans revues internationales à comité de lecture</w:t>
      </w:r>
    </w:p>
    <w:p w14:paraId="5EB79CBE" w14:textId="77777777" w:rsidR="00482F25" w:rsidRDefault="00482F25" w:rsidP="00482F25"/>
    <w:p w14:paraId="2F6E67EB" w14:textId="2DCED299" w:rsidR="00482F25" w:rsidRDefault="00482F25" w:rsidP="00482F25">
      <w:r>
        <w:t xml:space="preserve">MONNA F., ROLAND T., DENAIRE A., NAVARRO N., GRANJON L., BARBÉ R., CHATEAU-SMITH C. (2021) </w:t>
      </w:r>
      <w:proofErr w:type="spellStart"/>
      <w:r>
        <w:t>Deep</w:t>
      </w:r>
      <w:proofErr w:type="spellEnd"/>
      <w:r>
        <w:t xml:space="preserve"> </w:t>
      </w:r>
      <w:proofErr w:type="spellStart"/>
      <w:r>
        <w:t>learning</w:t>
      </w:r>
      <w:proofErr w:type="spellEnd"/>
      <w:r>
        <w:t xml:space="preserve"> to </w:t>
      </w:r>
      <w:proofErr w:type="spellStart"/>
      <w:r>
        <w:t>detect</w:t>
      </w:r>
      <w:proofErr w:type="spellEnd"/>
      <w:r>
        <w:t xml:space="preserve"> </w:t>
      </w:r>
      <w:proofErr w:type="spellStart"/>
      <w:r>
        <w:t>built</w:t>
      </w:r>
      <w:proofErr w:type="spellEnd"/>
      <w:r>
        <w:t xml:space="preserve"> cultural </w:t>
      </w:r>
      <w:proofErr w:type="spellStart"/>
      <w:r>
        <w:t>heritage</w:t>
      </w:r>
      <w:proofErr w:type="spellEnd"/>
      <w:r>
        <w:t xml:space="preserve"> </w:t>
      </w:r>
      <w:proofErr w:type="spellStart"/>
      <w:r>
        <w:t>from</w:t>
      </w:r>
      <w:proofErr w:type="spellEnd"/>
      <w:r>
        <w:t xml:space="preserve"> satellite </w:t>
      </w:r>
      <w:proofErr w:type="spellStart"/>
      <w:r>
        <w:t>imagery</w:t>
      </w:r>
      <w:proofErr w:type="spellEnd"/>
      <w:r>
        <w:t xml:space="preserve">. - Spatial distribution and size of </w:t>
      </w:r>
      <w:proofErr w:type="spellStart"/>
      <w:r>
        <w:t>vernacular</w:t>
      </w:r>
      <w:proofErr w:type="spellEnd"/>
      <w:r>
        <w:t xml:space="preserve"> </w:t>
      </w:r>
      <w:proofErr w:type="spellStart"/>
      <w:r>
        <w:t>houses</w:t>
      </w:r>
      <w:proofErr w:type="spellEnd"/>
      <w:r>
        <w:t xml:space="preserve"> in Sumba, </w:t>
      </w:r>
      <w:proofErr w:type="spellStart"/>
      <w:r>
        <w:t>Indonesia</w:t>
      </w:r>
      <w:proofErr w:type="spellEnd"/>
      <w:r>
        <w:t xml:space="preserve">. Journal of Cultural </w:t>
      </w:r>
      <w:proofErr w:type="spellStart"/>
      <w:r>
        <w:t>Heritage</w:t>
      </w:r>
      <w:proofErr w:type="spellEnd"/>
      <w:r>
        <w:t xml:space="preserve"> 52, p.171-183.</w:t>
      </w:r>
    </w:p>
    <w:p w14:paraId="46850062" w14:textId="072F3C64" w:rsidR="00482F25" w:rsidRDefault="00482F25" w:rsidP="00482F25">
      <w:r>
        <w:t xml:space="preserve">JEUNESSE C., BEC-DRELON N. BOULESTIN B. et DENAIRE A. (2021) </w:t>
      </w:r>
      <w:proofErr w:type="spellStart"/>
      <w:r>
        <w:t>Ethnoarchaeology</w:t>
      </w:r>
      <w:proofErr w:type="spellEnd"/>
      <w:r>
        <w:t xml:space="preserve"> of </w:t>
      </w:r>
      <w:proofErr w:type="spellStart"/>
      <w:r>
        <w:t>funeral</w:t>
      </w:r>
      <w:proofErr w:type="spellEnd"/>
      <w:r>
        <w:t xml:space="preserve"> practices: Aspects of the management of </w:t>
      </w:r>
      <w:proofErr w:type="spellStart"/>
      <w:r>
        <w:t>current</w:t>
      </w:r>
      <w:proofErr w:type="spellEnd"/>
      <w:r>
        <w:t xml:space="preserve"> dolmens and collective </w:t>
      </w:r>
      <w:proofErr w:type="spellStart"/>
      <w:r>
        <w:t>tombs</w:t>
      </w:r>
      <w:proofErr w:type="spellEnd"/>
      <w:r>
        <w:t xml:space="preserve"> in the tribal </w:t>
      </w:r>
      <w:proofErr w:type="spellStart"/>
      <w:r>
        <w:t>societies</w:t>
      </w:r>
      <w:proofErr w:type="spellEnd"/>
      <w:r>
        <w:t xml:space="preserve"> of Sumba Island (</w:t>
      </w:r>
      <w:proofErr w:type="spellStart"/>
      <w:r>
        <w:t>Indonesia</w:t>
      </w:r>
      <w:proofErr w:type="spellEnd"/>
      <w:r>
        <w:t xml:space="preserve">). Journal of </w:t>
      </w:r>
      <w:proofErr w:type="spellStart"/>
      <w:r>
        <w:t>Neolithic</w:t>
      </w:r>
      <w:proofErr w:type="spellEnd"/>
      <w:r>
        <w:t xml:space="preserve"> </w:t>
      </w:r>
      <w:proofErr w:type="spellStart"/>
      <w:r>
        <w:t>Archaeology</w:t>
      </w:r>
      <w:proofErr w:type="spellEnd"/>
      <w:r>
        <w:t xml:space="preserve"> 23, p. 61-82.</w:t>
      </w:r>
    </w:p>
    <w:p w14:paraId="67D61240" w14:textId="5A052539" w:rsidR="00482F25" w:rsidRDefault="00482F25" w:rsidP="00482F25">
      <w:r>
        <w:t xml:space="preserve">CASANOVA E., ARBOGAST R.-M., DENAIRE A., JEUNESSE C., LEFRANC P. et EVERSHED R. P. (2020) Spatial and temporal </w:t>
      </w:r>
      <w:proofErr w:type="spellStart"/>
      <w:r>
        <w:t>disparities</w:t>
      </w:r>
      <w:proofErr w:type="spellEnd"/>
      <w:r>
        <w:t xml:space="preserve"> in </w:t>
      </w:r>
      <w:proofErr w:type="spellStart"/>
      <w:r>
        <w:t>human</w:t>
      </w:r>
      <w:proofErr w:type="spellEnd"/>
      <w:r>
        <w:t xml:space="preserve"> </w:t>
      </w:r>
      <w:proofErr w:type="spellStart"/>
      <w:r>
        <w:t>subsistence</w:t>
      </w:r>
      <w:proofErr w:type="spellEnd"/>
      <w:r>
        <w:t xml:space="preserve"> in the </w:t>
      </w:r>
      <w:proofErr w:type="spellStart"/>
      <w:r>
        <w:t>Neolithic</w:t>
      </w:r>
      <w:proofErr w:type="spellEnd"/>
      <w:r>
        <w:t xml:space="preserve"> </w:t>
      </w:r>
      <w:proofErr w:type="spellStart"/>
      <w:r>
        <w:t>Rhineland</w:t>
      </w:r>
      <w:proofErr w:type="spellEnd"/>
      <w:r>
        <w:t xml:space="preserve"> </w:t>
      </w:r>
      <w:proofErr w:type="spellStart"/>
      <w:r>
        <w:t>gateway</w:t>
      </w:r>
      <w:proofErr w:type="spellEnd"/>
      <w:r>
        <w:t xml:space="preserve">. Journal of </w:t>
      </w:r>
      <w:proofErr w:type="spellStart"/>
      <w:r>
        <w:t>Archaeological</w:t>
      </w:r>
      <w:proofErr w:type="spellEnd"/>
      <w:r>
        <w:t xml:space="preserve"> Science 122, article 105215.</w:t>
      </w:r>
    </w:p>
    <w:p w14:paraId="44C6AC9A" w14:textId="6551933F" w:rsidR="00482F25" w:rsidRDefault="00482F25" w:rsidP="00482F25">
      <w:r>
        <w:t>CASANOVA E., KNOWLES T.D.J., BAYLISS A., DUNNE J., BARA</w:t>
      </w:r>
      <w:r>
        <w:rPr>
          <w:rFonts w:ascii="Cambria" w:hAnsi="Cambria" w:cs="Cambria"/>
        </w:rPr>
        <w:t>Ń</w:t>
      </w:r>
      <w:r>
        <w:t xml:space="preserve">SKI M. Z., DENAIRE A., LEFRANC P., DI LERNIA S., ROFFET-SALQUE M., SMYTH J., BARCLAY A., GILLARD T., </w:t>
      </w:r>
      <w:proofErr w:type="spellStart"/>
      <w:r>
        <w:t>CLAßEN</w:t>
      </w:r>
      <w:proofErr w:type="spellEnd"/>
      <w:r>
        <w:t xml:space="preserve"> E., COLES B., ILETT M., JEUNESSE C., KRUEGER M., MARCINIAK A., MINNITT S., ROTUNNO R., VAN DER VELDE P., VAN WIJK I., COTTON J., DAYKIN A., EVERSHED R. P. (2020) </w:t>
      </w:r>
      <w:proofErr w:type="spellStart"/>
      <w:r>
        <w:t>Accurate</w:t>
      </w:r>
      <w:proofErr w:type="spellEnd"/>
      <w:r>
        <w:t xml:space="preserve"> compound </w:t>
      </w:r>
      <w:proofErr w:type="spellStart"/>
      <w:r>
        <w:t>specific</w:t>
      </w:r>
      <w:proofErr w:type="spellEnd"/>
      <w:r>
        <w:t xml:space="preserve"> 14C </w:t>
      </w:r>
      <w:proofErr w:type="spellStart"/>
      <w:r>
        <w:t>dating</w:t>
      </w:r>
      <w:proofErr w:type="spellEnd"/>
      <w:r>
        <w:t xml:space="preserve"> of </w:t>
      </w:r>
      <w:proofErr w:type="spellStart"/>
      <w:r>
        <w:t>archaeological</w:t>
      </w:r>
      <w:proofErr w:type="spellEnd"/>
      <w:r>
        <w:t xml:space="preserve"> </w:t>
      </w:r>
      <w:proofErr w:type="spellStart"/>
      <w:r>
        <w:t>pottery</w:t>
      </w:r>
      <w:proofErr w:type="spellEnd"/>
      <w:r>
        <w:t xml:space="preserve"> </w:t>
      </w:r>
      <w:proofErr w:type="spellStart"/>
      <w:r>
        <w:t>vessels</w:t>
      </w:r>
      <w:proofErr w:type="spellEnd"/>
      <w:r>
        <w:t>. Nature 580, p. 506–510.</w:t>
      </w:r>
    </w:p>
    <w:p w14:paraId="35B35BF1" w14:textId="77777777" w:rsidR="00482F25" w:rsidRDefault="00482F25" w:rsidP="00482F25">
      <w:r>
        <w:t xml:space="preserve">FURTWÄNGLER, A., ROHRLACH, A.B., LAMNIDIS, T. C. LUKA PAPAC L., NEUMANN G. U., INGA SIEBKE I., REITER E., STEURI N., HALD J., DENAIRE A., SCHNITZLER B., WAHL J., RAMSTEIN M., SCHUENEMANN V. J., STOCKHAMMER P. W., HAFNER A., LÖSCH S., HAAK W., SCHIFFELS S. et KRAUSE J. (2020) Ancient </w:t>
      </w:r>
      <w:proofErr w:type="spellStart"/>
      <w:r>
        <w:t>genomes</w:t>
      </w:r>
      <w:proofErr w:type="spellEnd"/>
      <w:r>
        <w:t xml:space="preserve"> </w:t>
      </w:r>
      <w:proofErr w:type="spellStart"/>
      <w:r>
        <w:t>reveal</w:t>
      </w:r>
      <w:proofErr w:type="spellEnd"/>
      <w:r>
        <w:t xml:space="preserve"> social and </w:t>
      </w:r>
      <w:proofErr w:type="spellStart"/>
      <w:r>
        <w:t>genetic</w:t>
      </w:r>
      <w:proofErr w:type="spellEnd"/>
      <w:r>
        <w:t xml:space="preserve"> structure of </w:t>
      </w:r>
      <w:proofErr w:type="spellStart"/>
      <w:r>
        <w:t>Late</w:t>
      </w:r>
      <w:proofErr w:type="spellEnd"/>
      <w:r>
        <w:t xml:space="preserve"> </w:t>
      </w:r>
      <w:proofErr w:type="spellStart"/>
      <w:r>
        <w:t>Neolithic</w:t>
      </w:r>
      <w:proofErr w:type="spellEnd"/>
      <w:r>
        <w:t xml:space="preserve"> </w:t>
      </w:r>
      <w:proofErr w:type="spellStart"/>
      <w:r>
        <w:t>Switzerland</w:t>
      </w:r>
      <w:proofErr w:type="spellEnd"/>
      <w:r>
        <w:t xml:space="preserve">. Nature Communications 11 (1915), p. 1-9. </w:t>
      </w:r>
    </w:p>
    <w:p w14:paraId="38C7C50E" w14:textId="77777777" w:rsidR="00482F25" w:rsidRDefault="00482F25" w:rsidP="00482F25"/>
    <w:p w14:paraId="31C11CF9" w14:textId="665733FC" w:rsidR="00482F25" w:rsidRPr="00482F25" w:rsidRDefault="00482F25" w:rsidP="00482F25">
      <w:pPr>
        <w:rPr>
          <w:b/>
          <w:bCs/>
          <w:sz w:val="28"/>
          <w:szCs w:val="28"/>
        </w:rPr>
      </w:pPr>
      <w:r w:rsidRPr="00482F25">
        <w:rPr>
          <w:b/>
          <w:bCs/>
          <w:sz w:val="28"/>
          <w:szCs w:val="28"/>
        </w:rPr>
        <w:t>Ouvrages individuels et direction d'ouvrages collectifs</w:t>
      </w:r>
    </w:p>
    <w:p w14:paraId="4B15572B" w14:textId="77777777" w:rsidR="00482F25" w:rsidRDefault="00482F25" w:rsidP="00482F25"/>
    <w:p w14:paraId="20FEB9AC" w14:textId="631ADED2" w:rsidR="00482F25" w:rsidRDefault="00482F25" w:rsidP="00482F25">
      <w:r>
        <w:t>LEFRANC P., CROUTSCH C., DENAIRE A. (</w:t>
      </w:r>
      <w:proofErr w:type="spellStart"/>
      <w:r>
        <w:t>dir</w:t>
      </w:r>
      <w:proofErr w:type="spellEnd"/>
      <w:r>
        <w:t>.) (2023) Les enceintes néolithiques du nord-ouest de l’Europe. Actes du 33e colloque interrégional sur le Néolithique, Saint-Dié-des Vosges, 8-9 nov. 2019, Éditions Universitaires de Dijon, collection Art, Archéologie et Patrimoine, 2023, 512 p.</w:t>
      </w:r>
    </w:p>
    <w:p w14:paraId="6D992A81" w14:textId="4CBCE87C" w:rsidR="00482F25" w:rsidRDefault="00482F25" w:rsidP="00482F25">
      <w:r>
        <w:t>ARBOGAST R.-M., DENAIRE A., GRANDO-VALECKOVA S., LEFRANC P., MAUVILLY M., VAN WILLIGEN S. (</w:t>
      </w:r>
      <w:proofErr w:type="spellStart"/>
      <w:r>
        <w:t>dir</w:t>
      </w:r>
      <w:proofErr w:type="spellEnd"/>
      <w:r>
        <w:t>.) (2022) D'</w:t>
      </w:r>
      <w:proofErr w:type="spellStart"/>
      <w:r>
        <w:t>Oberlag</w:t>
      </w:r>
      <w:proofErr w:type="spellEnd"/>
      <w:r>
        <w:t xml:space="preserve"> à </w:t>
      </w:r>
      <w:proofErr w:type="spellStart"/>
      <w:r>
        <w:t>Wesaluri</w:t>
      </w:r>
      <w:proofErr w:type="spellEnd"/>
      <w:r>
        <w:t xml:space="preserve">, itinéraire d'un préhistorien. Mélanges offerts à Christian Jeunesse. Mémoires d'Archéologie du Grand Est 8, 2022, 470 p. </w:t>
      </w:r>
    </w:p>
    <w:p w14:paraId="6E09A556" w14:textId="77777777" w:rsidR="00482F25" w:rsidRDefault="00482F25" w:rsidP="00482F25"/>
    <w:p w14:paraId="2800871C" w14:textId="66707B10" w:rsidR="00482F25" w:rsidRDefault="00482F25" w:rsidP="00482F25">
      <w:pPr>
        <w:rPr>
          <w:b/>
          <w:bCs/>
          <w:sz w:val="28"/>
          <w:szCs w:val="28"/>
        </w:rPr>
      </w:pPr>
      <w:r w:rsidRPr="00482F25">
        <w:rPr>
          <w:b/>
          <w:bCs/>
          <w:sz w:val="28"/>
          <w:szCs w:val="28"/>
        </w:rPr>
        <w:t>Chapitres d'ouvrages</w:t>
      </w:r>
    </w:p>
    <w:p w14:paraId="76004D9A" w14:textId="77777777" w:rsidR="00482F25" w:rsidRPr="00482F25" w:rsidRDefault="00482F25" w:rsidP="00482F25">
      <w:pPr>
        <w:rPr>
          <w:b/>
          <w:bCs/>
          <w:sz w:val="28"/>
          <w:szCs w:val="28"/>
        </w:rPr>
      </w:pPr>
    </w:p>
    <w:p w14:paraId="2D43B336" w14:textId="2869B2DF" w:rsidR="00482F25" w:rsidRDefault="00482F25" w:rsidP="00482F25">
      <w:r>
        <w:t>ANDRÉ G., ANTOLÍN F., BADER M., BAILLY M., DENAIRE A., FOLLMANN F., JACOMET S., JESUS A., QUESNEL Y., REGGIO A., RÖDER B. et van WILLIGEN S. (2020) Déroulement des opérations et moyens mis en œuvre. In : VAN WILLIGEN S., BAILLY M., RÖDER B., SCHIEBLER J. et SCHMITT A. (</w:t>
      </w:r>
      <w:proofErr w:type="spellStart"/>
      <w:r>
        <w:t>dir</w:t>
      </w:r>
      <w:proofErr w:type="spellEnd"/>
      <w:r>
        <w:t>.) Les bagnoles à L’Isle-sur-la-Sorgue : un site majeur du Néolithique moyen en Vaucluse. Préhistoires de la Méditerranée, Préhistoires de la Méditerrané, p. 87-100.</w:t>
      </w:r>
    </w:p>
    <w:p w14:paraId="3F9880DB" w14:textId="76D31521" w:rsidR="00482F25" w:rsidRDefault="00482F25" w:rsidP="00482F25">
      <w:r>
        <w:t xml:space="preserve">ANTOLÍN F., DELEFOSSE C., DENAIRE A., ERRERA M., FOLLMANN F, JACOMET S., JESUS A., KÜHN M., MARTÍNEZ-GRAU H., PÉTREQUIN P., SCHÄFER M., SCHIBLER J., REGGIO A. et VAN WILLIGEN S. (2020) Les structures attribuables au Néolithique moyen de type La Roberte (fin du Ve millénaire-début </w:t>
      </w:r>
      <w:proofErr w:type="gramStart"/>
      <w:r>
        <w:t>du IVe</w:t>
      </w:r>
      <w:proofErr w:type="gramEnd"/>
      <w:r>
        <w:t xml:space="preserve"> millénaire avant notre ère). In : VAN </w:t>
      </w:r>
      <w:r>
        <w:lastRenderedPageBreak/>
        <w:t>WILLIGEN S., BAILLY M., RÖDER B., SCHIEBLER J. et SCHMITT A. (</w:t>
      </w:r>
      <w:proofErr w:type="spellStart"/>
      <w:r>
        <w:t>dir</w:t>
      </w:r>
      <w:proofErr w:type="spellEnd"/>
      <w:r>
        <w:t>.) Les Bagnoles à L’Isle-sur-la-Sorgue : un site majeur du Néolithique moyen en Vaucluse. Préhistoires de la Méditerranée, Préhistoires de la Méditerrané, p. 229-280.</w:t>
      </w:r>
    </w:p>
    <w:p w14:paraId="537066E8" w14:textId="2BACD8B0" w:rsidR="00482F25" w:rsidRDefault="00482F25" w:rsidP="00482F25">
      <w:r>
        <w:t>DENAIRE A. et van WILLIGEN (S. 2020) Les structures et leur attribution culturelle. In : VAN WILLIGEN S., BAILLY M., RÖDER B., SCHIEBLER J. et SCHMITT A. (</w:t>
      </w:r>
      <w:proofErr w:type="spellStart"/>
      <w:r>
        <w:t>dir</w:t>
      </w:r>
      <w:proofErr w:type="spellEnd"/>
      <w:r>
        <w:t>.) Les Bagnoles à L’Isle-sur-la-Sorgue : un site majeur du Néolithique moyen en Vaucluse. Préhistoires de la Méditerranée, p. 101-116.</w:t>
      </w:r>
    </w:p>
    <w:p w14:paraId="58F41221" w14:textId="77777777" w:rsidR="00482F25" w:rsidRDefault="00482F25" w:rsidP="00482F25"/>
    <w:p w14:paraId="128FDEB7" w14:textId="0B6F5AAA" w:rsidR="00482F25" w:rsidRPr="00482F25" w:rsidRDefault="00482F25" w:rsidP="00482F25">
      <w:pPr>
        <w:rPr>
          <w:b/>
          <w:bCs/>
          <w:sz w:val="28"/>
          <w:szCs w:val="26"/>
        </w:rPr>
      </w:pPr>
      <w:r w:rsidRPr="00482F25">
        <w:rPr>
          <w:b/>
          <w:bCs/>
          <w:sz w:val="28"/>
          <w:szCs w:val="26"/>
        </w:rPr>
        <w:t>Actes publiés de conférences internationales, congrès et colloques...</w:t>
      </w:r>
    </w:p>
    <w:p w14:paraId="5B1FA808" w14:textId="77777777" w:rsidR="00482F25" w:rsidRDefault="00482F25" w:rsidP="00482F25"/>
    <w:p w14:paraId="6D030454" w14:textId="10947506" w:rsidR="00482F25" w:rsidRDefault="00482F25" w:rsidP="00482F25">
      <w:r>
        <w:t xml:space="preserve">CHARNOT M., DENAIRE A. et LEFRANC P. (2023) Échanges et contacts culturels aux 36e-35e siècles : traditions techniques de la céramique de Geispolsheim « </w:t>
      </w:r>
      <w:proofErr w:type="spellStart"/>
      <w:r>
        <w:t>Forlen</w:t>
      </w:r>
      <w:proofErr w:type="spellEnd"/>
      <w:r>
        <w:t xml:space="preserve"> » (Bas-Rhin). In : </w:t>
      </w:r>
      <w:proofErr w:type="spellStart"/>
      <w:r>
        <w:t>Thirault</w:t>
      </w:r>
      <w:proofErr w:type="spellEnd"/>
      <w:r>
        <w:t xml:space="preserve"> É. et </w:t>
      </w:r>
      <w:proofErr w:type="spellStart"/>
      <w:r>
        <w:t>Sénépart</w:t>
      </w:r>
      <w:proofErr w:type="spellEnd"/>
      <w:r>
        <w:t xml:space="preserve"> I. (</w:t>
      </w:r>
      <w:proofErr w:type="spellStart"/>
      <w:r>
        <w:t>dir</w:t>
      </w:r>
      <w:proofErr w:type="spellEnd"/>
      <w:r>
        <w:t>.) (Im)mobiles ? Circulation, échanges des objets et des idées, mobilités, stabilités des personnes et des groupes durant la Pré- et Protohistoire européenne. Actes des IIIe rencontres Nord/Sud de Préhistoire récente, Lyon, 29 nov.-1er déc. 2018, Archives d'Écologie Préhistorique, p. 97-108.</w:t>
      </w:r>
    </w:p>
    <w:p w14:paraId="6D638708" w14:textId="035F622B" w:rsidR="00482F25" w:rsidRDefault="00482F25" w:rsidP="00482F25">
      <w:r>
        <w:t>DENAIRE A., DUCREUX F., GOUTELARD A. (2023) L’enceinte à fossés discontinus d’Autun, Grands-Champs (Saône-et-Loire, Bourgogne). In : LEFRANC P., CROUTSCH C., DENAIRE A. (</w:t>
      </w:r>
      <w:proofErr w:type="spellStart"/>
      <w:r>
        <w:t>dir</w:t>
      </w:r>
      <w:proofErr w:type="spellEnd"/>
      <w:r>
        <w:t>.) Les enceintes néolithiques du nord-ouest de l’Europe. Actes du 33e colloque interrégional sur le Néolithique, Saint-Dié-des-Vosges, 8-9 nov. 2019, Éditions Universitaires de Dijon, collection Art, Archéologie et Patrimoine, 2023, p. 251-275.</w:t>
      </w:r>
    </w:p>
    <w:p w14:paraId="5B329E42" w14:textId="42D09B8C" w:rsidR="00482F25" w:rsidRDefault="00482F25" w:rsidP="00482F25">
      <w:r>
        <w:t>DENAIRE A., JEUNESSE C., MONNA F. et WALDVOGEL A. (2023) Quelques remarques sur les enceintes en pierre sèche des habitats traditionnels actuels de l’île de Sumba (Indonésie). In : LEFRANC P., CROUTSCH C., DENAIRE A. (</w:t>
      </w:r>
      <w:proofErr w:type="spellStart"/>
      <w:r>
        <w:t>dir</w:t>
      </w:r>
      <w:proofErr w:type="spellEnd"/>
      <w:r>
        <w:t xml:space="preserve">.) Les enceintes néolithiques du </w:t>
      </w:r>
      <w:proofErr w:type="spellStart"/>
      <w:r>
        <w:t>nord ouest</w:t>
      </w:r>
      <w:proofErr w:type="spellEnd"/>
      <w:r>
        <w:t xml:space="preserve"> de l’Europe. Actes du 33e colloque interrégional sur le Néolithique, Saint-Dié-des-Vosges, 8-9 nov. 2019, Éditions Universitaires de Dijon, collection Art, Archéologie et Patrimoine, 2023, p. 413-433.</w:t>
      </w:r>
    </w:p>
    <w:p w14:paraId="67C1E85F" w14:textId="1477E70A" w:rsidR="00482F25" w:rsidRDefault="00482F25" w:rsidP="00482F25">
      <w:r>
        <w:t xml:space="preserve">DENAIRE A. et LEFRANC P. (2023) Le peuplement de la Basse-Alsace du 6e au 4e millénaire. De la colonisation rubanée à la colonisation BORS. In : </w:t>
      </w:r>
      <w:proofErr w:type="spellStart"/>
      <w:r>
        <w:t>Thirault</w:t>
      </w:r>
      <w:proofErr w:type="spellEnd"/>
      <w:r>
        <w:t xml:space="preserve"> É. et </w:t>
      </w:r>
      <w:proofErr w:type="spellStart"/>
      <w:r>
        <w:t>Sénépart</w:t>
      </w:r>
      <w:proofErr w:type="spellEnd"/>
      <w:r>
        <w:t xml:space="preserve"> I. (</w:t>
      </w:r>
      <w:proofErr w:type="spellStart"/>
      <w:r>
        <w:t>dir</w:t>
      </w:r>
      <w:proofErr w:type="spellEnd"/>
      <w:r>
        <w:t>.) (Im)mobiles ? Circulation, échanges des objets et des idées, mobilités, stabilités des personnes et des groupes durant la Pré- et Protohistoire européenne. Actes des IIIe rencontres Nord/Sud de Préhistoire récente, Lyon, 29 nov.-1</w:t>
      </w:r>
      <w:r w:rsidRPr="00482F25">
        <w:rPr>
          <w:vertAlign w:val="superscript"/>
        </w:rPr>
        <w:t>er</w:t>
      </w:r>
      <w:r>
        <w:t xml:space="preserve"> déc. 2018, Archives d'Écologie Préhistorique, 2023, p. 139-148.</w:t>
      </w:r>
    </w:p>
    <w:p w14:paraId="1B8685ED" w14:textId="734829E3" w:rsidR="00482F25" w:rsidRDefault="00482F25" w:rsidP="00482F25">
      <w:r>
        <w:t>JEUNESSE C., BEC-DRELON N., BOULESTIN B. et DENAIRE A. (2021) Aspects de la gestion des dolmens et des tombes collectives actuels dans les sociétés de l’île de Sumba (Indonésie). In : LEROY M. et RECCHIA J. (</w:t>
      </w:r>
      <w:proofErr w:type="spellStart"/>
      <w:r>
        <w:t>dir</w:t>
      </w:r>
      <w:proofErr w:type="spellEnd"/>
      <w:r>
        <w:t>.) Grottes et dolmens : relations entre les sépultures collectives de la fin du Néolithique dans le Sud de la France. Actes de la table ronde d’Aix-en-Provence, 19-20 sept. 2019, Préhistoires Méditerranéennes, 9.2-1, 2021, p. 165-179.</w:t>
      </w:r>
    </w:p>
    <w:p w14:paraId="597A042F" w14:textId="3C2E4ED2" w:rsidR="00482F25" w:rsidRDefault="00482F25" w:rsidP="00482F25">
      <w:r>
        <w:t xml:space="preserve">DENAIRE A., DOUSTEEYSSIER B., NOUVEL P. (2020) </w:t>
      </w:r>
      <w:proofErr w:type="spellStart"/>
      <w:r>
        <w:t>Culhat</w:t>
      </w:r>
      <w:proofErr w:type="spellEnd"/>
      <w:r>
        <w:t xml:space="preserve"> « les Bassinets » (Puy-de-Dôme) et Vouillé « Les </w:t>
      </w:r>
      <w:proofErr w:type="spellStart"/>
      <w:r>
        <w:t>Chavis</w:t>
      </w:r>
      <w:proofErr w:type="spellEnd"/>
      <w:r>
        <w:t xml:space="preserve"> » (Vienne), apport de la prospection aérienne et des données satellites à la documentation des bâtiments de type </w:t>
      </w:r>
      <w:proofErr w:type="spellStart"/>
      <w:r>
        <w:t>Antran</w:t>
      </w:r>
      <w:proofErr w:type="spellEnd"/>
      <w:r>
        <w:t xml:space="preserve">. </w:t>
      </w:r>
      <w:proofErr w:type="spellStart"/>
      <w:r>
        <w:t>Internéo</w:t>
      </w:r>
      <w:proofErr w:type="spellEnd"/>
      <w:r>
        <w:t xml:space="preserve"> 13 – 2020, actes de la journée d’information, Saint-Germain-en-Laye, 21 oct. 2020, p. 65-83.</w:t>
      </w:r>
    </w:p>
    <w:p w14:paraId="38FF6E7E" w14:textId="5792AC19" w:rsidR="00482F25" w:rsidRPr="00482F25" w:rsidRDefault="00482F25" w:rsidP="00482F25">
      <w:pPr>
        <w:rPr>
          <w:b/>
          <w:bCs/>
          <w:sz w:val="28"/>
          <w:szCs w:val="26"/>
        </w:rPr>
      </w:pPr>
      <w:r w:rsidRPr="00482F25">
        <w:rPr>
          <w:b/>
          <w:bCs/>
          <w:sz w:val="28"/>
          <w:szCs w:val="26"/>
        </w:rPr>
        <w:t>Autres</w:t>
      </w:r>
    </w:p>
    <w:p w14:paraId="484DD7FD" w14:textId="77777777" w:rsidR="00482F25" w:rsidRDefault="00482F25" w:rsidP="00482F25"/>
    <w:p w14:paraId="12C33F1D" w14:textId="02310BA9" w:rsidR="00482F25" w:rsidRDefault="00482F25" w:rsidP="00482F25">
      <w:r>
        <w:lastRenderedPageBreak/>
        <w:t xml:space="preserve">LEFRANC P. et DENAIRE A. (2020) Le </w:t>
      </w:r>
      <w:proofErr w:type="spellStart"/>
      <w:r>
        <w:t>Munzingen</w:t>
      </w:r>
      <w:proofErr w:type="spellEnd"/>
      <w:r>
        <w:t xml:space="preserve"> : sur la genèse d’une culture archéologique du sud de la plaine du Rhin au 4e millénaire av. J.-C. Revue Archéologie de l’Est 69, 2020, p. 51-82.</w:t>
      </w:r>
    </w:p>
    <w:p w14:paraId="54453E65" w14:textId="235A22F9" w:rsidR="00203521" w:rsidRDefault="00482F25" w:rsidP="00482F25">
      <w:r>
        <w:t>LEFRANC P., DENAIRE A., PERRIN B. et MAUVILLY M. (2020) Récentes découvertes d’habitats de la Céramique cordée et redécouverte d’un ensemble funéraire du Néolithique final en Basse-Alsace. Cahiers Alsaciens d’Arts, d’Archéologie et d’Histoire 63, p. 7-27.</w:t>
      </w:r>
    </w:p>
    <w:sectPr w:rsidR="00203521" w:rsidSect="00F73C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w:altName w:val="Goudy Old Style"/>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Times New Roman (Corps CS)">
    <w:altName w:val="Times New Roman"/>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25"/>
    <w:rsid w:val="000D41A0"/>
    <w:rsid w:val="00156BF0"/>
    <w:rsid w:val="001C6A35"/>
    <w:rsid w:val="00203521"/>
    <w:rsid w:val="003B0AF4"/>
    <w:rsid w:val="00482F25"/>
    <w:rsid w:val="005156C4"/>
    <w:rsid w:val="00775657"/>
    <w:rsid w:val="007C0E4E"/>
    <w:rsid w:val="00987CD9"/>
    <w:rsid w:val="009A780A"/>
    <w:rsid w:val="00AA5492"/>
    <w:rsid w:val="00BB3077"/>
    <w:rsid w:val="00BC4016"/>
    <w:rsid w:val="00C65D98"/>
    <w:rsid w:val="00C97117"/>
    <w:rsid w:val="00F73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0D82"/>
  <w15:chartTrackingRefBased/>
  <w15:docId w15:val="{BD538FF4-B425-D246-BFE7-58145BF9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mbo" w:eastAsiaTheme="minorHAnsi" w:hAnsi="Bembo" w:cs="Times New Roman (Corps CS)"/>
        <w:iCs/>
        <w:kern w:val="2"/>
        <w:sz w:val="24"/>
        <w:szCs w:val="24"/>
        <w:lang w:val="fr-FR" w:eastAsia="en-US" w:bidi="ar-SA"/>
        <w14:ligatures w14:val="standardContextual"/>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82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2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2F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2F25"/>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Titre5">
    <w:name w:val="heading 5"/>
    <w:basedOn w:val="Normal"/>
    <w:next w:val="Normal"/>
    <w:link w:val="Titre5Car"/>
    <w:uiPriority w:val="9"/>
    <w:semiHidden/>
    <w:unhideWhenUsed/>
    <w:qFormat/>
    <w:rsid w:val="00482F2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82F25"/>
    <w:pPr>
      <w:keepNext/>
      <w:keepLines/>
      <w:spacing w:before="40"/>
      <w:outlineLvl w:val="5"/>
    </w:pPr>
    <w:rPr>
      <w:rFonts w:asciiTheme="minorHAnsi" w:eastAsiaTheme="majorEastAsia" w:hAnsiTheme="minorHAnsi" w:cstheme="majorBidi"/>
      <w:i/>
      <w:iCs w:val="0"/>
      <w:color w:val="595959" w:themeColor="text1" w:themeTint="A6"/>
    </w:rPr>
  </w:style>
  <w:style w:type="paragraph" w:styleId="Titre7">
    <w:name w:val="heading 7"/>
    <w:basedOn w:val="Normal"/>
    <w:next w:val="Normal"/>
    <w:link w:val="Titre7Car"/>
    <w:uiPriority w:val="9"/>
    <w:semiHidden/>
    <w:unhideWhenUsed/>
    <w:qFormat/>
    <w:rsid w:val="00482F2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82F25"/>
    <w:pPr>
      <w:keepNext/>
      <w:keepLines/>
      <w:outlineLvl w:val="7"/>
    </w:pPr>
    <w:rPr>
      <w:rFonts w:asciiTheme="minorHAnsi" w:eastAsiaTheme="majorEastAsia" w:hAnsiTheme="minorHAnsi" w:cstheme="majorBidi"/>
      <w:i/>
      <w:iCs w:val="0"/>
      <w:color w:val="272727" w:themeColor="text1" w:themeTint="D8"/>
    </w:rPr>
  </w:style>
  <w:style w:type="paragraph" w:styleId="Titre9">
    <w:name w:val="heading 9"/>
    <w:basedOn w:val="Normal"/>
    <w:next w:val="Normal"/>
    <w:link w:val="Titre9Car"/>
    <w:uiPriority w:val="9"/>
    <w:semiHidden/>
    <w:unhideWhenUsed/>
    <w:qFormat/>
    <w:rsid w:val="00482F2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2F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2F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2F2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82F25"/>
    <w:rPr>
      <w:rFonts w:asciiTheme="minorHAnsi" w:eastAsiaTheme="majorEastAsia" w:hAnsiTheme="minorHAnsi" w:cstheme="majorBidi"/>
      <w:i/>
      <w:iCs w:val="0"/>
      <w:color w:val="0F4761" w:themeColor="accent1" w:themeShade="BF"/>
    </w:rPr>
  </w:style>
  <w:style w:type="character" w:customStyle="1" w:styleId="Titre5Car">
    <w:name w:val="Titre 5 Car"/>
    <w:basedOn w:val="Policepardfaut"/>
    <w:link w:val="Titre5"/>
    <w:uiPriority w:val="9"/>
    <w:semiHidden/>
    <w:rsid w:val="00482F2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82F25"/>
    <w:rPr>
      <w:rFonts w:asciiTheme="minorHAnsi" w:eastAsiaTheme="majorEastAsia" w:hAnsiTheme="minorHAnsi" w:cstheme="majorBidi"/>
      <w:i/>
      <w:iCs w:val="0"/>
      <w:color w:val="595959" w:themeColor="text1" w:themeTint="A6"/>
    </w:rPr>
  </w:style>
  <w:style w:type="character" w:customStyle="1" w:styleId="Titre7Car">
    <w:name w:val="Titre 7 Car"/>
    <w:basedOn w:val="Policepardfaut"/>
    <w:link w:val="Titre7"/>
    <w:uiPriority w:val="9"/>
    <w:semiHidden/>
    <w:rsid w:val="00482F2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82F25"/>
    <w:rPr>
      <w:rFonts w:asciiTheme="minorHAnsi" w:eastAsiaTheme="majorEastAsia" w:hAnsiTheme="minorHAnsi" w:cstheme="majorBidi"/>
      <w:i/>
      <w:iCs w:val="0"/>
      <w:color w:val="272727" w:themeColor="text1" w:themeTint="D8"/>
    </w:rPr>
  </w:style>
  <w:style w:type="character" w:customStyle="1" w:styleId="Titre9Car">
    <w:name w:val="Titre 9 Car"/>
    <w:basedOn w:val="Policepardfaut"/>
    <w:link w:val="Titre9"/>
    <w:uiPriority w:val="9"/>
    <w:semiHidden/>
    <w:rsid w:val="00482F2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82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2F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2F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2F2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82F25"/>
    <w:pPr>
      <w:spacing w:before="160" w:after="160"/>
      <w:jc w:val="center"/>
    </w:pPr>
    <w:rPr>
      <w:i/>
      <w:iCs w:val="0"/>
      <w:color w:val="404040" w:themeColor="text1" w:themeTint="BF"/>
    </w:rPr>
  </w:style>
  <w:style w:type="character" w:customStyle="1" w:styleId="CitationCar">
    <w:name w:val="Citation Car"/>
    <w:basedOn w:val="Policepardfaut"/>
    <w:link w:val="Citation"/>
    <w:uiPriority w:val="29"/>
    <w:rsid w:val="00482F25"/>
    <w:rPr>
      <w:i/>
      <w:iCs w:val="0"/>
      <w:color w:val="404040" w:themeColor="text1" w:themeTint="BF"/>
    </w:rPr>
  </w:style>
  <w:style w:type="paragraph" w:styleId="Paragraphedeliste">
    <w:name w:val="List Paragraph"/>
    <w:basedOn w:val="Normal"/>
    <w:uiPriority w:val="34"/>
    <w:qFormat/>
    <w:rsid w:val="00482F25"/>
    <w:pPr>
      <w:ind w:left="720"/>
      <w:contextualSpacing/>
    </w:pPr>
  </w:style>
  <w:style w:type="character" w:styleId="Emphaseintense">
    <w:name w:val="Intense Emphasis"/>
    <w:basedOn w:val="Policepardfaut"/>
    <w:uiPriority w:val="21"/>
    <w:qFormat/>
    <w:rsid w:val="00482F25"/>
    <w:rPr>
      <w:i/>
      <w:iCs w:val="0"/>
      <w:color w:val="0F4761" w:themeColor="accent1" w:themeShade="BF"/>
    </w:rPr>
  </w:style>
  <w:style w:type="paragraph" w:styleId="Citationintense">
    <w:name w:val="Intense Quote"/>
    <w:basedOn w:val="Normal"/>
    <w:next w:val="Normal"/>
    <w:link w:val="CitationintenseCar"/>
    <w:uiPriority w:val="30"/>
    <w:qFormat/>
    <w:rsid w:val="00482F25"/>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CitationintenseCar">
    <w:name w:val="Citation intense Car"/>
    <w:basedOn w:val="Policepardfaut"/>
    <w:link w:val="Citationintense"/>
    <w:uiPriority w:val="30"/>
    <w:rsid w:val="00482F25"/>
    <w:rPr>
      <w:i/>
      <w:iCs w:val="0"/>
      <w:color w:val="0F4761" w:themeColor="accent1" w:themeShade="BF"/>
    </w:rPr>
  </w:style>
  <w:style w:type="character" w:styleId="Rfrenceintense">
    <w:name w:val="Intense Reference"/>
    <w:basedOn w:val="Policepardfaut"/>
    <w:uiPriority w:val="32"/>
    <w:qFormat/>
    <w:rsid w:val="00482F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Denaire</dc:creator>
  <cp:keywords/>
  <dc:description/>
  <cp:lastModifiedBy>Sabine Zinck</cp:lastModifiedBy>
  <cp:revision>2</cp:revision>
  <dcterms:created xsi:type="dcterms:W3CDTF">2024-07-09T06:48:00Z</dcterms:created>
  <dcterms:modified xsi:type="dcterms:W3CDTF">2024-07-09T06:48:00Z</dcterms:modified>
</cp:coreProperties>
</file>